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22.png" ContentType="image/png"/>
  <Override PartName="/word/media/rId128.png" ContentType="image/png"/>
  <Override PartName="/word/media/rId131.png" ContentType="image/png"/>
  <Override PartName="/word/media/rId134.png" ContentType="image/png"/>
  <Override PartName="/word/media/rId12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These cytokines released by T-cells and macrophages (e.g., TNF) are pro-apoptotic and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The fraction of reads mapping to the host genome decreased while those mapping to the virus genome increased over course of the infection as the virus infectious cycle progressed. Despite excellent quality scores at all time points (</w:t>
      </w:r>
      <w:r>
        <w:rPr>
          <w:b/>
          <w:bCs/>
        </w:rPr>
        <w:t xml:space="preserve">Table 1</w:t>
      </w:r>
      <w:r>
        <w:t xml:space="preserve">), DEGs identified at 4 and 72 hpi did not yield any results in the downstream functional enrichment analyses (GO term and KEGG pathway analysis) and they were excluded from all subsequent analyses. In the remaining 12 and 24 hpi samples, a high correlation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 The DEG analyses results at 12 and 24-hpi have been deposited in NCBI Gene Expression Omnibus (</w:t>
      </w:r>
      <w:hyperlink r:id="rId24">
        <w:r>
          <w:rPr>
            <w:rStyle w:val="Hyperlink"/>
          </w:rPr>
          <w:t xml:space="preserve">http://www.ncbi.nlm.nih.gov/geo</w:t>
        </w:r>
      </w:hyperlink>
      <w:r>
        <w:t xml:space="preserve">) under accession number ### with files named ~file_name12hpi and file_name24hpi~,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in the BP category for upregulated DEGs were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and underscores the ability of adenoviruses to trigger both apoptotic and anti-apoptotic pathways as seen in Mastadenoviruses.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Cell Cycle and Cell Maintenance Pathway Regulation Impacting Apoptosis</w:t>
      </w:r>
      <w:r>
        <w:br/>
      </w:r>
      <w:r>
        <w:t xml:space="preserve">Forcibly transitioning of the host cell cycle to the S phase during the early phase of infection is a prerequisite for a productive adenovirus infection.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(29)</w:t>
      </w:r>
      <w:r>
        <w:t xml:space="preserve">. Our GO and KEGG pathway results showed that at 12 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observed in Mastadenoviruses, the cell cycle regulation at 12 hpi seems complicated as some key cell cycle related genes as well as DNA and RNA synthesis, repair, metabolism, processing, and replication were concurrently downregulated. At 24 hpi, our KEGG pathway and GO analysis show that cell cycle was unanimously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(30)</w:t>
      </w:r>
      <w:r>
        <w:t xml:space="preserve">. Repression of RNA and protein synthesis is also strongly associated with apoptosis</w:t>
      </w:r>
      <w:r>
        <w:t xml:space="preserve"> </w:t>
      </w:r>
      <w:r>
        <w:t xml:space="preserve">(31)</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 We speculate that these may all contribute to cell death via apoptosis; hence, THEV-induce IMS.</w:t>
      </w:r>
    </w:p>
    <w:p>
      <w:pPr>
        <w:pStyle w:val="BodyText"/>
      </w:pPr>
      <w:r>
        <w:rPr>
          <w:b/>
          <w:bCs/>
        </w:rPr>
        <w:t xml:space="preserve">Endoplasmic Reticulum (ER)-related Protein Degradation Response during THEV infection</w:t>
      </w:r>
      <w:r>
        <w:br/>
      </w:r>
      <w:r>
        <w:t xml:space="preserve">The KEGG pathway analysis (</w:t>
      </w:r>
      <w:r>
        <w:rPr>
          <w:b/>
          <w:bCs/>
        </w:rPr>
        <w:t xml:space="preserve">Table 4A</w:t>
      </w:r>
      <w:r>
        <w:t xml:space="preserve">) show that protein processing in the ER and ubiquitin-mediated proteolysis are significantly upregulated. The GO results (</w:t>
      </w:r>
      <w:r>
        <w:rPr>
          <w:b/>
          <w:bCs/>
        </w:rPr>
        <w:t xml:space="preserve">Table 3A</w:t>
      </w:r>
      <w:r>
        <w:t xml:space="preserve">) shows that specifically, the ER‐associated protein degradation (ERAD) pathway was upregulated during THEV infection. The ER is the major site for protein synthesis, folding and quality control, and sorting. It is also harbors proteins and protein complexes necessary for other cellular functions including innate immune signaling, and serves as the site for lipid biosynthesis</w:t>
      </w:r>
      <w:r>
        <w:t xml:space="preserve"> </w:t>
      </w:r>
      <w:r>
        <w:t xml:space="preserve">(32)</w:t>
      </w:r>
      <w:r>
        <w:t xml:space="preserve">. The ERAD pathway, a ubiquitin‐proteasome‐dependent pathway, is a protein quality control system primarily activated for degradation of unwanted byproducts of protein biogenesis, such as misfolded and unassembled/orphaned proteins</w:t>
      </w:r>
      <w:r>
        <w:t xml:space="preserve"> </w:t>
      </w:r>
      <w:r>
        <w:t xml:space="preserve">(32)</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Our KEGG pathway (</w:t>
      </w:r>
      <w:r>
        <w:rPr>
          <w:b/>
          <w:bCs/>
        </w:rPr>
        <w:t xml:space="preserve">Table S2</w:t>
      </w:r>
      <w:r>
        <w:t xml:space="preserve">) and GO (</w:t>
      </w:r>
      <w:r>
        <w:rPr>
          <w:b/>
          <w:bCs/>
        </w:rPr>
        <w:t xml:space="preserve">Figure 4B</w:t>
      </w:r>
      <w:r>
        <w:t xml:space="preserve">) results indicate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 hpi. Our GO analysis also identified terms such as regulation of lymphocyte activation and regulation of cytokine production as upregulated at both 12 and 24 hpi. Genes involved include IL18, IL2RB, IL4R, IL5RA,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 hpi and immunoglobulin production and isotype switching GO terms were downregulated at 12 hpi. This inconsistency is likely and indicator of the struggle between the virus and its host. While several cytokines were regulated by THEV like in the proposed model of THEV immunopathogenesis (</w:t>
      </w:r>
      <w:r>
        <w:rPr>
          <w:b/>
          <w:bCs/>
        </w:rPr>
        <w:t xml:space="preserve">Figure 1</w:t>
      </w:r>
      <w:r>
        <w:t xml:space="preserve">), the expected cytokines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many of the identified differentially expressed cytokines () are positve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5</w:t>
      </w:r>
      <w:r>
        <w:t xml:space="preserve">, the RT-qPCR results corroborate the RNA-seq results, further reinforcing the validity of the RNA-seq transcriptomic profile results.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HE in young turkey poults, the retention of its immunosuppressive properties leaves the economic losses problem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 Only one cell line (MDTC-RP19 or RP19) has ever been developed capable of supporting THEV infection and replication</w:t>
      </w:r>
      <w:r>
        <w:t xml:space="preserve"> </w:t>
      </w:r>
      <w:r>
        <w:t xml:space="preserve">(33)</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(34)</w:t>
      </w:r>
      <w:r>
        <w:t xml:space="preserve">, leading to only 12 and 24 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Meleagris gallopavo</w:t>
      </w:r>
      <w:r>
        <w:t xml:space="preserve">) genes are not annotated and not recognized by the databases used for functional enrichment analysis. Thus, the obtained results are likely sub-optimal in detail relative to results from well annotated and curated genomes like humans and mice. The DEGs were related to multiple biological processes all potentially playing a role in THEV infection but the most relevant to our study are cell death (apoptosis and autophagy), ER-mediated protein degradation, suppressed cell maintenance, and cytokine deregulation. Furthermore, the RT-qPCR results validated the RNA-seq results. Collectively, the current study may shed lights on some significant aspects of THEV-host interactions, which may benefit further mechanistic delineation of the viral infection and induction of IMS and inform future development of anti-THEV strategies. The representative aspects of THEV-cell interplays highlighted by this study are further discussed.</w:t>
      </w:r>
    </w:p>
    <w:p>
      <w:pPr>
        <w:pStyle w:val="BodyText"/>
      </w:pPr>
      <w:r>
        <w:t xml:space="preserve">Protein degradation was more pronounced at the later stage of infection (24 hpi)</w:t>
      </w:r>
    </w:p>
    <w:p>
      <w:pPr>
        <w:pStyle w:val="BodyText"/>
      </w:pPr>
      <w:r>
        <w:t xml:space="preserve">Why use avirulent THEV?</w:t>
      </w:r>
    </w:p>
    <w:p>
      <w:pPr>
        <w:pStyle w:val="BodyText"/>
      </w:pPr>
      <w:r>
        <w:t xml:space="preserve">In the proposed model of THEV immunopathogenesis (</w:t>
      </w:r>
      <w:r>
        <w:rPr>
          <w:b/>
          <w:bCs/>
        </w:rPr>
        <w:t xml:space="preserve">Figure 1</w:t>
      </w:r>
      <w:r>
        <w:t xml:space="preserve">), cytokines are key players. However, the primary cytokines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This may be due to:</w:t>
      </w:r>
      <w:r>
        <w:t xml:space="preserve"> </w:t>
      </w:r>
      <w:r>
        <w:t xml:space="preserve">1. B-cell culture does cannot simulate cell interactions which are key in the model -&gt; Full onset of cytokine release require communication</w:t>
      </w:r>
      <w:r>
        <w:t xml:space="preserve"> </w:t>
      </w:r>
      <w:r>
        <w:t xml:space="preserve">2. Cytokines may not play a dominant role in THEV-induced IMS since TNF-blocking drug (thalidomide) only prevented intestinal disease not immunosuppression.</w:t>
      </w:r>
      <w:r>
        <w:t xml:space="preserve"> </w:t>
      </w:r>
      <w:r>
        <w:t xml:space="preserve">3. This RNA-seq shows apoptosis but not the key cytokines in the model. Non-cytokine mediate cell death?</w:t>
      </w:r>
    </w:p>
    <w:p>
      <w:pPr>
        <w:pStyle w:val="BodyText"/>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 However, several immune genes such as: …. were significantly differentially expressed.</w:t>
      </w:r>
    </w:p>
    <w:p>
      <w:pPr>
        <w:pStyle w:val="BodyText"/>
      </w:pPr>
      <w:r>
        <w:t xml:space="preserve">Regulation of genes involved in the cell cycle during THEV infection seemed complicated at 12 hpi, since both positive and negative regulators were both up- or down-regulated.</w:t>
      </w:r>
      <w:r>
        <w:t xml:space="preserve"> </w:t>
      </w:r>
    </w:p>
    <w:bookmarkEnd w:id="26"/>
    <w:bookmarkStart w:id="27" w:name="conclusions"/>
    <w:p>
      <w:pPr>
        <w:pStyle w:val="Heading2"/>
      </w:pPr>
      <w:r>
        <w:t xml:space="preserve">CONCLUSIONS</w:t>
      </w:r>
    </w:p>
    <w:p>
      <w:r>
        <w:br w:type="page"/>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(35)</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(36)</w:t>
      </w:r>
      <w:r>
        <w:t xml:space="preserve">, a popular workflow management system to drive the pipeline. Briefly, raw sequencing reads were trimmed with Cutadapt - version 1.10</w:t>
      </w:r>
      <w:r>
        <w:t xml:space="preserve"> </w:t>
      </w:r>
      <w:r>
        <w:t xml:space="preserve">(37)</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(38–40)</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samples were infected and RNA extracted as described for the RNA 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(41)</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difference with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transcript expression counts, and total DEGs identified at 12 and 24 hpi have been deposited at the NCBI Gene Expression Omnibus (</w:t>
      </w:r>
      <w:hyperlink r:id="rId24">
        <w:r>
          <w:rPr>
            <w:rStyle w:val="Hyperlink"/>
          </w:rPr>
          <w:t xml:space="preserve">http://www.ncbi.nlm.nih.gov/geo</w:t>
        </w:r>
      </w:hyperlink>
      <w:r>
        <w:t xml:space="preserve">) under accession number ######.</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1" w:name="references"/>
    <w:p>
      <w:pPr>
        <w:pStyle w:val="Heading2"/>
      </w:pPr>
      <w:r>
        <w:t xml:space="preserve">REFERENCES</w:t>
      </w:r>
    </w:p>
    <w:p>
      <w:pPr>
        <w:pStyle w:val="FirstParagraph"/>
      </w:pPr>
    </w:p>
    <w:bookmarkStart w:id="120"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Ezoe1981"/>
    <w:p>
      <w:pPr>
        <w:pStyle w:val="Bibliography"/>
      </w:pPr>
      <w:r>
        <w:t xml:space="preserve">27.</w:t>
      </w:r>
      <w:r>
        <w:t xml:space="preserve"> </w:t>
      </w:r>
      <w:r>
        <w:t xml:space="preserve">	</w:t>
      </w:r>
      <w:r>
        <w:t xml:space="preserve">Ezoe H, Fatt RB, Mak S. 1981.</w:t>
      </w:r>
      <w:r>
        <w:t xml:space="preserve"> </w:t>
      </w:r>
      <w:hyperlink r:id="rId90">
        <w:r>
          <w:rPr>
            <w:rStyle w:val="Hyperlink"/>
          </w:rPr>
          <w:t xml:space="preserve">Degradation of intracellular DNA in KB cells infected with cyt mutants of human adenovirus type 12</w:t>
        </w:r>
      </w:hyperlink>
      <w:r>
        <w:t xml:space="preserve">. Journal of Virology 40:20–27.</w:t>
      </w:r>
    </w:p>
    <w:bookmarkEnd w:id="91"/>
    <w:bookmarkStart w:id="93" w:name="ref-Quaye2024"/>
    <w:p>
      <w:pPr>
        <w:pStyle w:val="Bibliography"/>
      </w:pPr>
      <w:r>
        <w:t xml:space="preserve">28.</w:t>
      </w:r>
      <w:r>
        <w:t xml:space="preserve"> </w:t>
      </w:r>
      <w:r>
        <w:t xml:space="preserve">	</w:t>
      </w:r>
      <w:r>
        <w:t xml:space="preserve">Quaye A, Pickett BE, Griffitts JS, Berges BK, Poole BD. 2024.</w:t>
      </w:r>
      <w:r>
        <w:t xml:space="preserve"> </w:t>
      </w:r>
      <w:hyperlink r:id="rId92">
        <w:r>
          <w:rPr>
            <w:rStyle w:val="Hyperlink"/>
          </w:rPr>
          <w:t xml:space="preserve">Characterizing the splice map of turkey hemorrhagic enteritis virus</w:t>
        </w:r>
      </w:hyperlink>
      <w:r>
        <w:t xml:space="preserve">. Virology Journal 21.</w:t>
      </w:r>
    </w:p>
    <w:bookmarkEnd w:id="93"/>
    <w:bookmarkStart w:id="95" w:name="ref-Guimet2016"/>
    <w:p>
      <w:pPr>
        <w:pStyle w:val="Bibliography"/>
      </w:pPr>
      <w:r>
        <w:t xml:space="preserve">29.</w:t>
      </w:r>
      <w:r>
        <w:t xml:space="preserve"> </w:t>
      </w:r>
      <w:r>
        <w:t xml:space="preserve">	</w:t>
      </w:r>
      <w:r>
        <w:t xml:space="preserve">Guimet D, Hearing P. 2016.</w:t>
      </w:r>
      <w:r>
        <w:t xml:space="preserve"> </w:t>
      </w:r>
      <w:hyperlink r:id="rId94">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5"/>
    <w:bookmarkStart w:id="97" w:name="ref-Roos2006"/>
    <w:p>
      <w:pPr>
        <w:pStyle w:val="Bibliography"/>
      </w:pPr>
      <w:r>
        <w:t xml:space="preserve">30.</w:t>
      </w:r>
      <w:r>
        <w:t xml:space="preserve"> </w:t>
      </w:r>
      <w:r>
        <w:t xml:space="preserve">	</w:t>
      </w:r>
      <w:r>
        <w:t xml:space="preserve">Roos WP, Kaina B. 2006.</w:t>
      </w:r>
      <w:r>
        <w:t xml:space="preserve"> </w:t>
      </w:r>
      <w:hyperlink r:id="rId96">
        <w:r>
          <w:rPr>
            <w:rStyle w:val="Hyperlink"/>
          </w:rPr>
          <w:t xml:space="preserve">DNA damage-induced cell death by apoptosis</w:t>
        </w:r>
      </w:hyperlink>
      <w:r>
        <w:t xml:space="preserve">. Trends in Molecular Medicine 12:440–450.</w:t>
      </w:r>
    </w:p>
    <w:bookmarkEnd w:id="97"/>
    <w:bookmarkStart w:id="99" w:name="ref-Martin1993"/>
    <w:p>
      <w:pPr>
        <w:pStyle w:val="Bibliography"/>
      </w:pPr>
      <w:r>
        <w:t xml:space="preserve">31.</w:t>
      </w:r>
      <w:r>
        <w:t xml:space="preserve"> </w:t>
      </w:r>
      <w:r>
        <w:t xml:space="preserve">	</w:t>
      </w:r>
      <w:r>
        <w:t xml:space="preserve">Martin SJ. 1993.</w:t>
      </w:r>
      <w:r>
        <w:t xml:space="preserve"> </w:t>
      </w:r>
      <w:hyperlink r:id="rId98">
        <w:r>
          <w:rPr>
            <w:rStyle w:val="Hyperlink"/>
          </w:rPr>
          <w:t xml:space="preserve">Protein or RNA synthesis inhibition induces apoptosis of mature human CD4+ t cell blasts</w:t>
        </w:r>
      </w:hyperlink>
      <w:r>
        <w:t xml:space="preserve">. Immunology Letters 35:125–134.</w:t>
      </w:r>
    </w:p>
    <w:bookmarkEnd w:id="99"/>
    <w:bookmarkStart w:id="101" w:name="ref-Christianson2022"/>
    <w:p>
      <w:pPr>
        <w:pStyle w:val="Bibliography"/>
      </w:pPr>
      <w:r>
        <w:t xml:space="preserve">32.</w:t>
      </w:r>
      <w:r>
        <w:t xml:space="preserve"> </w:t>
      </w:r>
      <w:r>
        <w:t xml:space="preserve">	</w:t>
      </w:r>
      <w:r>
        <w:t xml:space="preserve">Christianson JC, Carvalho P. 2022.</w:t>
      </w:r>
      <w:r>
        <w:t xml:space="preserve"> </w:t>
      </w:r>
      <w:hyperlink r:id="rId100">
        <w:r>
          <w:rPr>
            <w:rStyle w:val="Hyperlink"/>
          </w:rPr>
          <w:t xml:space="preserve">Order through destruction: How ER‐associated protein degradation contributes to organelle homeostasis</w:t>
        </w:r>
      </w:hyperlink>
      <w:r>
        <w:t xml:space="preserve">. The EMBO Journal 41.</w:t>
      </w:r>
    </w:p>
    <w:bookmarkEnd w:id="101"/>
    <w:bookmarkStart w:id="103" w:name="ref-vandenHurk1990"/>
    <w:p>
      <w:pPr>
        <w:pStyle w:val="Bibliography"/>
      </w:pPr>
      <w:r>
        <w:t xml:space="preserve">33.</w:t>
      </w:r>
      <w:r>
        <w:t xml:space="preserve"> </w:t>
      </w:r>
      <w:r>
        <w:t xml:space="preserve">	</w:t>
      </w:r>
      <w:r>
        <w:t xml:space="preserve">Hurk JV van den. 1990.</w:t>
      </w:r>
      <w:r>
        <w:t xml:space="preserve"> </w:t>
      </w:r>
      <w:hyperlink r:id="rId102">
        <w:r>
          <w:rPr>
            <w:rStyle w:val="Hyperlink"/>
          </w:rPr>
          <w:t xml:space="preserve">Propagation of group II avian adenoviruses in turkey and chicken leukocytes</w:t>
        </w:r>
      </w:hyperlink>
      <w:r>
        <w:t xml:space="preserve">. Avian Diseases 34:12.</w:t>
      </w:r>
    </w:p>
    <w:bookmarkEnd w:id="103"/>
    <w:bookmarkStart w:id="105" w:name="ref-Aboezz2019"/>
    <w:p>
      <w:pPr>
        <w:pStyle w:val="Bibliography"/>
      </w:pPr>
      <w:r>
        <w:t xml:space="preserve">34.</w:t>
      </w:r>
      <w:r>
        <w:t xml:space="preserve"> </w:t>
      </w:r>
      <w:r>
        <w:t xml:space="preserve">	</w:t>
      </w:r>
      <w:r>
        <w:t xml:space="preserve">Aboezz ZR, Mahsoub HM, El-Bagoury G, Pierson FW. 2019.</w:t>
      </w:r>
      <w:r>
        <w:t xml:space="preserve"> </w:t>
      </w:r>
      <w:hyperlink r:id="rId104">
        <w:r>
          <w:rPr>
            <w:rStyle w:val="Hyperlink"/>
          </w:rPr>
          <w:t xml:space="preserve">In vitro growth kinetics and gene expression analysis of the turkey adenovirus 3, a siadenovirus</w:t>
        </w:r>
      </w:hyperlink>
      <w:r>
        <w:t xml:space="preserve">. Virus Research 263:47–54.</w:t>
      </w:r>
    </w:p>
    <w:bookmarkEnd w:id="105"/>
    <w:bookmarkStart w:id="107" w:name="ref-Mahsoub2017"/>
    <w:p>
      <w:pPr>
        <w:pStyle w:val="Bibliography"/>
      </w:pPr>
      <w:r>
        <w:t xml:space="preserve">35.</w:t>
      </w:r>
      <w:r>
        <w:t xml:space="preserve"> </w:t>
      </w:r>
      <w:r>
        <w:t xml:space="preserve">	</w:t>
      </w:r>
      <w:r>
        <w:t xml:space="preserve">Mahsoub HM, Evans NP, Beach NM, Yuan L, Zimmerman K, Pierson FW. 2017.</w:t>
      </w:r>
      <w:r>
        <w:t xml:space="preserve"> </w:t>
      </w:r>
      <w:hyperlink r:id="rId106">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07"/>
    <w:bookmarkStart w:id="109" w:name="ref-Snakemake2021"/>
    <w:p>
      <w:pPr>
        <w:pStyle w:val="Bibliography"/>
      </w:pPr>
      <w:r>
        <w:t xml:space="preserve">36.</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8">
        <w:r>
          <w:rPr>
            <w:rStyle w:val="Hyperlink"/>
          </w:rPr>
          <w:t xml:space="preserve">Sustainable data analysis with snakemake</w:t>
        </w:r>
      </w:hyperlink>
      <w:r>
        <w:t xml:space="preserve">. F1000Research 10:33.</w:t>
      </w:r>
    </w:p>
    <w:bookmarkEnd w:id="109"/>
    <w:bookmarkStart w:id="111" w:name="ref-Martin2011"/>
    <w:p>
      <w:pPr>
        <w:pStyle w:val="Bibliography"/>
      </w:pPr>
      <w:r>
        <w:t xml:space="preserve">37.</w:t>
      </w:r>
      <w:r>
        <w:t xml:space="preserve"> </w:t>
      </w:r>
      <w:r>
        <w:t xml:space="preserve">	</w:t>
      </w:r>
      <w:r>
        <w:t xml:space="preserve">Martin M. 2011.</w:t>
      </w:r>
      <w:r>
        <w:t xml:space="preserve"> </w:t>
      </w:r>
      <w:hyperlink r:id="rId110">
        <w:r>
          <w:rPr>
            <w:rStyle w:val="Hyperlink"/>
          </w:rPr>
          <w:t xml:space="preserve">Cutadapt removes adapter sequences from high-throughput sequencing reads</w:t>
        </w:r>
      </w:hyperlink>
      <w:r>
        <w:t xml:space="preserve">. EMBnetjournal 17:10.</w:t>
      </w:r>
    </w:p>
    <w:bookmarkEnd w:id="111"/>
    <w:bookmarkStart w:id="113" w:name="ref-ggplot2"/>
    <w:p>
      <w:pPr>
        <w:pStyle w:val="Bibliography"/>
      </w:pPr>
      <w:r>
        <w:t xml:space="preserve">38.</w:t>
      </w:r>
      <w:r>
        <w:t xml:space="preserve"> </w:t>
      </w:r>
      <w:r>
        <w:t xml:space="preserve">	</w:t>
      </w:r>
      <w:r>
        <w:t xml:space="preserve">Wickham H. 2016. ggplot2: Elegant graphics for data analysis. Springer-Verlag New York.</w:t>
      </w:r>
      <w:r>
        <w:t xml:space="preserve"> </w:t>
      </w:r>
      <w:hyperlink r:id="rId112">
        <w:r>
          <w:rPr>
            <w:rStyle w:val="Hyperlink"/>
          </w:rPr>
          <w:t xml:space="preserve">https://ggplot2.tidyverse.org</w:t>
        </w:r>
      </w:hyperlink>
      <w:r>
        <w:t xml:space="preserve">.</w:t>
      </w:r>
    </w:p>
    <w:bookmarkEnd w:id="113"/>
    <w:bookmarkStart w:id="115" w:name="ref-pheatmap"/>
    <w:p>
      <w:pPr>
        <w:pStyle w:val="Bibliography"/>
      </w:pPr>
      <w:r>
        <w:t xml:space="preserve">39.</w:t>
      </w:r>
      <w:r>
        <w:t xml:space="preserve"> </w:t>
      </w:r>
      <w:r>
        <w:t xml:space="preserve">	</w:t>
      </w:r>
      <w:r>
        <w:t xml:space="preserve">Kolde R. 2019. Pheatmap: Pretty heatmaps.</w:t>
      </w:r>
      <w:r>
        <w:t xml:space="preserve"> </w:t>
      </w:r>
      <w:hyperlink r:id="rId114">
        <w:r>
          <w:rPr>
            <w:rStyle w:val="Hyperlink"/>
          </w:rPr>
          <w:t xml:space="preserve">https://CRAN.R-project.org/package=pheatmap</w:t>
        </w:r>
      </w:hyperlink>
      <w:r>
        <w:t xml:space="preserve">.</w:t>
      </w:r>
    </w:p>
    <w:bookmarkEnd w:id="115"/>
    <w:bookmarkStart w:id="117" w:name="ref-ggvenn"/>
    <w:p>
      <w:pPr>
        <w:pStyle w:val="Bibliography"/>
      </w:pPr>
      <w:r>
        <w:t xml:space="preserve">40.</w:t>
      </w:r>
      <w:r>
        <w:t xml:space="preserve"> </w:t>
      </w:r>
      <w:r>
        <w:t xml:space="preserve">	</w:t>
      </w:r>
      <w:r>
        <w:t xml:space="preserve">Yan L. 2023. Ggvenn: Draw venn diagram by ’ggplot2’.</w:t>
      </w:r>
      <w:r>
        <w:t xml:space="preserve"> </w:t>
      </w:r>
      <w:hyperlink r:id="rId116">
        <w:r>
          <w:rPr>
            <w:rStyle w:val="Hyperlink"/>
          </w:rPr>
          <w:t xml:space="preserve">https://CRAN.R-project.org/package=ggvenn</w:t>
        </w:r>
      </w:hyperlink>
      <w:r>
        <w:t xml:space="preserve">.</w:t>
      </w:r>
    </w:p>
    <w:bookmarkEnd w:id="117"/>
    <w:bookmarkStart w:id="119" w:name="ref-Livak2001"/>
    <w:p>
      <w:pPr>
        <w:pStyle w:val="Bibliography"/>
      </w:pPr>
      <w:r>
        <w:t xml:space="preserve">41.</w:t>
      </w:r>
      <w:r>
        <w:t xml:space="preserve"> </w:t>
      </w:r>
      <w:r>
        <w:t xml:space="preserve">	</w:t>
      </w:r>
      <w:hyperlink r:id="rId118">
        <w:r>
          <w:rPr>
            <w:rStyle w:val="Hyperlink"/>
          </w:rPr>
          <w:t xml:space="preserve">Livak KJ, Schmittgen TD. 2001.. Methods 25:402–408</w:t>
        </w:r>
      </w:hyperlink>
      <w:r>
        <w:t xml:space="preserve">.</w:t>
      </w:r>
    </w:p>
    <w:bookmarkEnd w:id="119"/>
    <w:bookmarkEnd w:id="120"/>
    <w:p>
      <w:r>
        <w:br w:type="page"/>
      </w:r>
    </w:p>
    <w:bookmarkEnd w:id="121"/>
    <w:bookmarkStart w:id="137"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2"/>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5"/>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2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953000"/>
            <wp:effectExtent b="0" l="0" r="0" t="0"/>
            <wp:docPr descr="Figure 5: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9" name="Picture"/>
            <a:graphic>
              <a:graphicData uri="http://schemas.openxmlformats.org/drawingml/2006/picture">
                <pic:pic>
                  <pic:nvPicPr>
                    <pic:cNvPr descr="results/r/figures/qpcr_validation.png" id="10" name="Picture"/>
                    <pic:cNvPicPr>
                      <a:picLocks noChangeArrowheads="1" noChangeAspect="1"/>
                    </pic:cNvPicPr>
                  </pic:nvPicPr>
                  <pic:blipFill>
                    <a:blip r:embed="rId134"/>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5: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GAPDH 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exact"/>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exact"/>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exact"/>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exact"/>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exact"/>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exact"/>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exact"/>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exact"/>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exact"/>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exact"/>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exact"/>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37"/>
    <w:bookmarkStart w:id="138" w:name="supplementary-informationmaterials"/>
    <w:p>
      <w:pPr>
        <w:pStyle w:val="Heading2"/>
      </w:pPr>
      <w:r>
        <w:t xml:space="preserve">SUPPLEMENTARY INFORMATION/MATERIALS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38"/>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22" Type="http://schemas.openxmlformats.org/officeDocument/2006/relationships/image" Target="media/rId122.png"/>
<Relationship Id="rId128" Type="http://schemas.openxmlformats.org/officeDocument/2006/relationships/image" Target="media/rId128.png"/>
<Relationship Id="rId131" Type="http://schemas.openxmlformats.org/officeDocument/2006/relationships/image" Target="media/rId131.png"/>
<Relationship Id="rId134" Type="http://schemas.openxmlformats.org/officeDocument/2006/relationships/image" Target="media/rId134.png"/>
<Relationship Id="rId125" Type="http://schemas.openxmlformats.org/officeDocument/2006/relationships/image" Target="media/rId125.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16" Type="http://schemas.openxmlformats.org/officeDocument/2006/relationships/hyperlink" Target="https://CRAN.R-project.org/package=ggvenn" TargetMode="External"/>
<Relationship Id="rId114"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18" Type="http://schemas.openxmlformats.org/officeDocument/2006/relationships/hyperlink" Target="https://doi.org/10.1006/meth.2001.1262"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8"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4" Type="http://schemas.openxmlformats.org/officeDocument/2006/relationships/hyperlink" Target="https://doi.org/10.1016/b978-0-12-800276-6.00003-6" TargetMode="External"/>
<Relationship Id="rId106" Type="http://schemas.openxmlformats.org/officeDocument/2006/relationships/hyperlink" Target="https://doi.org/10.1016/j.jviromet.2016.11.002" TargetMode="External"/>
<Relationship Id="rId96" Type="http://schemas.openxmlformats.org/officeDocument/2006/relationships/hyperlink" Target="https://doi.org/10.1016/j.molmed.2006.07.007" TargetMode="External"/>
<Relationship Id="rId69" Type="http://schemas.openxmlformats.org/officeDocument/2006/relationships/hyperlink" Target="https://doi.org/10.1016/j.virs.2022.09.002" TargetMode="External"/>
<Relationship Id="rId104"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08"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0" Type="http://schemas.openxmlformats.org/officeDocument/2006/relationships/hyperlink" Target="https://doi.org/10.14806/ej.17.1.200" TargetMode="External"/>
<Relationship Id="rId100"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2"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2"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16" Type="http://schemas.openxmlformats.org/officeDocument/2006/relationships/hyperlink" Target="https://CRAN.R-project.org/package=ggvenn" TargetMode="External"/>
<Relationship Id="rId114"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18" Type="http://schemas.openxmlformats.org/officeDocument/2006/relationships/hyperlink" Target="https://doi.org/10.1006/meth.2001.1262"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8"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4" Type="http://schemas.openxmlformats.org/officeDocument/2006/relationships/hyperlink" Target="https://doi.org/10.1016/b978-0-12-800276-6.00003-6" TargetMode="External"/>
<Relationship Id="rId106" Type="http://schemas.openxmlformats.org/officeDocument/2006/relationships/hyperlink" Target="https://doi.org/10.1016/j.jviromet.2016.11.002" TargetMode="External"/>
<Relationship Id="rId96" Type="http://schemas.openxmlformats.org/officeDocument/2006/relationships/hyperlink" Target="https://doi.org/10.1016/j.molmed.2006.07.007" TargetMode="External"/>
<Relationship Id="rId69" Type="http://schemas.openxmlformats.org/officeDocument/2006/relationships/hyperlink" Target="https://doi.org/10.1016/j.virs.2022.09.002" TargetMode="External"/>
<Relationship Id="rId104"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90" Type="http://schemas.openxmlformats.org/officeDocument/2006/relationships/hyperlink" Target="https://doi.org/10.1128/jvi.40.1.20-27.1981" TargetMode="External"/>
<Relationship Id="rId51" Type="http://schemas.openxmlformats.org/officeDocument/2006/relationships/hyperlink" Target="https://doi.org/10.1186/s12917-019-2138-8" TargetMode="External"/>
<Relationship Id="rId92"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08"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0" Type="http://schemas.openxmlformats.org/officeDocument/2006/relationships/hyperlink" Target="https://doi.org/10.14806/ej.17.1.200" TargetMode="External"/>
<Relationship Id="rId100"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2"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2"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THEV Infection Highlights Upregulated Cell Death and Breakdown Pathways That May Mediate Immunosuppression</dc:title>
  <dc:creator/>
  <cp:keywords/>
  <dcterms:created xsi:type="dcterms:W3CDTF">2025-01-01T10:13:52Z</dcterms:created>
  <dcterms:modified xsi:type="dcterms:W3CDTF">2025-01-01T03:13:55Z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